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CE" w:rsidRDefault="00402EB6">
      <w:pPr>
        <w:spacing w:after="536" w:line="240" w:lineRule="auto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朝陽科技大學休閒事業管理系研究生證照門檻推薦清單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23ACE" w:rsidRDefault="00402EB6">
      <w:pPr>
        <w:spacing w:after="382"/>
        <w:ind w:left="329" w:right="-15" w:hanging="10"/>
      </w:pPr>
      <w:r>
        <w:rPr>
          <w:rFonts w:ascii="標楷體" w:eastAsia="標楷體" w:hAnsi="標楷體" w:cs="標楷體"/>
          <w:sz w:val="24"/>
        </w:rPr>
        <w:t>學生需考取共同證照及專業證照各一張，推薦證照如下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23ACE" w:rsidRDefault="00402EB6">
      <w:pPr>
        <w:numPr>
          <w:ilvl w:val="0"/>
          <w:numId w:val="1"/>
        </w:numPr>
        <w:spacing w:after="382"/>
        <w:ind w:left="378" w:right="-15" w:hanging="206"/>
      </w:pPr>
      <w:r>
        <w:rPr>
          <w:rFonts w:ascii="標楷體" w:eastAsia="標楷體" w:hAnsi="標楷體" w:cs="標楷體"/>
          <w:sz w:val="24"/>
        </w:rPr>
        <w:t>共同證照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23ACE" w:rsidRDefault="00402EB6">
      <w:pPr>
        <w:spacing w:after="379" w:line="541" w:lineRule="auto"/>
        <w:ind w:left="54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TQC </w:t>
      </w:r>
      <w:r>
        <w:rPr>
          <w:rFonts w:ascii="標楷體" w:eastAsia="標楷體" w:hAnsi="標楷體" w:cs="標楷體"/>
          <w:sz w:val="24"/>
          <w:u w:val="single" w:color="000000"/>
        </w:rPr>
        <w:t>認證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-</w:t>
      </w:r>
      <w:r>
        <w:rPr>
          <w:rFonts w:ascii="標楷體" w:eastAsia="標楷體" w:hAnsi="標楷體" w:cs="標楷體"/>
          <w:sz w:val="24"/>
          <w:u w:val="single" w:color="000000"/>
        </w:rPr>
        <w:t>電子試算表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標楷體" w:eastAsia="標楷體" w:hAnsi="標楷體" w:cs="標楷體"/>
          <w:sz w:val="24"/>
          <w:u w:val="single" w:color="000000"/>
        </w:rPr>
        <w:t>進階級</w:t>
      </w:r>
      <w:r>
        <w:rPr>
          <w:rFonts w:ascii="標楷體" w:eastAsia="標楷體" w:hAnsi="標楷體" w:cs="標楷體"/>
          <w:sz w:val="24"/>
        </w:rPr>
        <w:t>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  <w:u w:val="single" w:color="000000"/>
        </w:rPr>
        <w:t>調查與研究方法分析師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標楷體" w:eastAsia="標楷體" w:hAnsi="標楷體" w:cs="標楷體"/>
          <w:sz w:val="24"/>
          <w:u w:val="single" w:color="000000"/>
        </w:rPr>
        <w:t>三星統計服務有限公司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標楷體" w:eastAsia="標楷體" w:hAnsi="標楷體" w:cs="標楷體"/>
          <w:sz w:val="24"/>
        </w:rPr>
        <w:t>，擇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>考選。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ACE" w:rsidRDefault="00402EB6">
      <w:pPr>
        <w:numPr>
          <w:ilvl w:val="0"/>
          <w:numId w:val="1"/>
        </w:numPr>
        <w:spacing w:after="382"/>
        <w:ind w:left="378" w:right="-15" w:hanging="206"/>
      </w:pPr>
      <w:r>
        <w:rPr>
          <w:rFonts w:ascii="標楷體" w:eastAsia="標楷體" w:hAnsi="標楷體" w:cs="標楷體"/>
          <w:sz w:val="24"/>
        </w:rPr>
        <w:t>專業證照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標楷體" w:eastAsia="標楷體" w:hAnsi="標楷體" w:cs="標楷體"/>
          <w:sz w:val="24"/>
        </w:rPr>
        <w:t>從中擇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>考選。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722" w:type="dxa"/>
        <w:tblInd w:w="442" w:type="dxa"/>
        <w:tblCellMar>
          <w:top w:w="0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49"/>
        <w:gridCol w:w="4169"/>
        <w:gridCol w:w="2804"/>
      </w:tblGrid>
      <w:tr w:rsidR="00023ACE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編號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證照名稱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主辦單位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67"/>
        </w:trPr>
        <w:tc>
          <w:tcPr>
            <w:tcW w:w="7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23ACE" w:rsidRDefault="00402EB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綠色旅遊模組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華語導遊證照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考試院考選部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華語領隊證照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考試院考選部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會議展覽服務業人才進階認證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經濟部國貿局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TBSA </w:t>
            </w:r>
            <w:r>
              <w:rPr>
                <w:rFonts w:ascii="標楷體" w:eastAsia="標楷體" w:hAnsi="標楷體" w:cs="標楷體"/>
                <w:sz w:val="24"/>
              </w:rPr>
              <w:t>商務企劃能力進階檢定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5" w:line="240" w:lineRule="auto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社團法人台灣商務策劃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協會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Qualicert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服務認證主導稽核員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5" w:line="240" w:lineRule="auto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台灣檢驗科技股份有限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TIMS </w:t>
            </w:r>
            <w:r>
              <w:rPr>
                <w:rFonts w:ascii="標楷體" w:eastAsia="標楷體" w:hAnsi="標楷體" w:cs="標楷體"/>
                <w:sz w:val="24"/>
              </w:rPr>
              <w:t>行銷專業能力－中階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行銷行銷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台灣行銷科學學會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校院青年活動企劃師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台灣企劃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67"/>
        </w:trPr>
        <w:tc>
          <w:tcPr>
            <w:tcW w:w="7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23ACE" w:rsidRDefault="00402EB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運動休閒模組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10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09" w:line="305" w:lineRule="auto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本模組大學部羅列之證照，畢業前需考取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張國際</w:t>
            </w:r>
            <w:r>
              <w:rPr>
                <w:rFonts w:ascii="標楷體" w:eastAsia="標楷體" w:hAnsi="標楷體" w:cs="標楷體"/>
                <w:sz w:val="24"/>
              </w:rPr>
              <w:t>或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張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B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級以上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+1 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張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>級證照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:2</w:t>
            </w:r>
            <w:r>
              <w:rPr>
                <w:rFonts w:ascii="標楷體" w:eastAsia="標楷體" w:hAnsi="標楷體" w:cs="標楷體"/>
                <w:sz w:val="24"/>
              </w:rPr>
              <w:t>張</w:t>
            </w: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標楷體" w:eastAsia="標楷體" w:hAnsi="標楷體" w:cs="標楷體"/>
                <w:sz w:val="24"/>
              </w:rPr>
              <w:t>級等同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>張國際證照；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</w:rPr>
              <w:t>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初級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等同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</w:rPr>
              <w:t>張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  <w:r>
              <w:rPr>
                <w:rFonts w:ascii="標楷體" w:eastAsia="標楷體" w:hAnsi="標楷體" w:cs="標楷體"/>
                <w:sz w:val="24"/>
              </w:rPr>
              <w:t>級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中級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</w:tr>
      <w:tr w:rsidR="00023ACE">
        <w:trPr>
          <w:trHeight w:val="367"/>
        </w:trPr>
        <w:tc>
          <w:tcPr>
            <w:tcW w:w="7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023ACE" w:rsidRDefault="00402EB6">
            <w:pPr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餐旅管理模組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ACE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勞工安全衛生管理乙級技術士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中式麵食加工乙級技術士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中餐烹調乙級技術士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西餐烹調乙級技術士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烘焙食品乙級技術士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飲料調製乙級技術士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餐旅服務乙級技術士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門市服務乙級技術士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就業服務乙級技術士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勞動部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HACCP</w:t>
            </w:r>
            <w:r>
              <w:rPr>
                <w:rFonts w:ascii="標楷體" w:eastAsia="標楷體" w:hAnsi="標楷體" w:cs="標楷體"/>
                <w:sz w:val="24"/>
              </w:rPr>
              <w:t>食品安全管制系統進階訓練班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中華</w:t>
            </w:r>
            <w:r>
              <w:rPr>
                <w:rFonts w:ascii="標楷體" w:eastAsia="標楷體" w:hAnsi="標楷體" w:cs="標楷體"/>
                <w:sz w:val="24"/>
              </w:rPr>
              <w:t>HACCP</w:t>
            </w:r>
            <w:r>
              <w:rPr>
                <w:rFonts w:ascii="標楷體" w:eastAsia="標楷體" w:hAnsi="標楷體" w:cs="標楷體"/>
                <w:sz w:val="24"/>
              </w:rPr>
              <w:t>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0" w:line="240" w:lineRule="auto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Supervision in the Hospitality 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Industry</w:t>
            </w:r>
            <w:r>
              <w:rPr>
                <w:rFonts w:ascii="標楷體" w:eastAsia="標楷體" w:hAnsi="標楷體" w:cs="標楷體"/>
                <w:sz w:val="24"/>
              </w:rPr>
              <w:t>餐旅服務業督導學術認證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5" w:line="240" w:lineRule="auto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Managing Technology in the 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Hospitality Industry</w:t>
            </w:r>
            <w:r>
              <w:rPr>
                <w:rFonts w:ascii="標楷體" w:eastAsia="標楷體" w:hAnsi="標楷體" w:cs="標楷體"/>
                <w:sz w:val="24"/>
              </w:rPr>
              <w:t>餐旅資訊管理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pPr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023ACE"/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系統學術認證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023ACE"/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5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Managing Front Office Operations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旅館客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部營運與管理學術認證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10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1" w:line="305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Hospitality Facilities Management and Design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飯店設施管理學術認證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5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Managing Housekeeping Operations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旅館房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部營運與管理學術認證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10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08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Management of Food and Beverage </w:t>
            </w:r>
          </w:p>
          <w:p w:rsidR="00023ACE" w:rsidRDefault="00402EB6">
            <w:pPr>
              <w:spacing w:after="125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Operations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餐飲營運管理學術認證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0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Marketing in the Hospitality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Industry</w:t>
            </w:r>
            <w:r>
              <w:rPr>
                <w:rFonts w:ascii="標楷體" w:eastAsia="標楷體" w:hAnsi="標楷體" w:cs="標楷體"/>
                <w:sz w:val="24"/>
              </w:rPr>
              <w:t>餐旅服務業行銷學術認證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10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0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Managing Hospitality Human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Resources</w:t>
            </w:r>
            <w:r>
              <w:rPr>
                <w:rFonts w:ascii="標楷體" w:eastAsia="標楷體" w:hAnsi="標楷體" w:cs="標楷體"/>
                <w:sz w:val="24"/>
              </w:rPr>
              <w:t>餐旅人力資源管理學術認證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10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08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Leadership and Management in the </w:t>
            </w:r>
          </w:p>
          <w:p w:rsidR="00023ACE" w:rsidRDefault="00402EB6">
            <w:pPr>
              <w:spacing w:after="125"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Hospitality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餐旅業領導統御與管理學術認證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25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Certified Hospitality Supervisor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飯店業督導主管職業認證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2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美國飯店教育學會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（</w:t>
            </w:r>
            <w:r>
              <w:rPr>
                <w:rFonts w:ascii="標楷體" w:eastAsia="標楷體" w:hAnsi="標楷體" w:cs="標楷體"/>
                <w:sz w:val="24"/>
              </w:rPr>
              <w:t>AHLEI</w:t>
            </w:r>
            <w:r>
              <w:rPr>
                <w:rFonts w:ascii="標楷體" w:eastAsia="標楷體" w:hAnsi="標楷體" w:cs="標楷體"/>
                <w:sz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動態策略規劃師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管理類甲級證照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育峰管理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顧問有限公司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37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顧客關係管理師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行銷類甲級證照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育峰管理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顧問有限公司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創業財務暨營運模式規劃師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財務類甲級證照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育峰管理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顧問有限公司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roofErr w:type="gramStart"/>
            <w:r>
              <w:rPr>
                <w:rFonts w:ascii="標楷體" w:eastAsia="標楷體" w:hAnsi="標楷體" w:cs="標楷體"/>
                <w:sz w:val="24"/>
              </w:rPr>
              <w:t>觀休資訊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系統規劃師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9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中華民國電腦教育發展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23ACE">
        <w:trPr>
          <w:trHeight w:val="7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CE" w:rsidRDefault="00402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餐飲資訊系統規劃師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CE" w:rsidRDefault="00402EB6">
            <w:pPr>
              <w:spacing w:after="119"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中華民國電腦教育發展</w:t>
            </w:r>
          </w:p>
          <w:p w:rsidR="00023ACE" w:rsidRDefault="00402EB6">
            <w:r>
              <w:rPr>
                <w:rFonts w:ascii="標楷體" w:eastAsia="標楷體" w:hAnsi="標楷體" w:cs="標楷體"/>
                <w:sz w:val="24"/>
              </w:rPr>
              <w:t>協會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023ACE" w:rsidRDefault="00402EB6">
      <w:pPr>
        <w:spacing w:after="283" w:line="240" w:lineRule="auto"/>
        <w:ind w:left="3842"/>
        <w:jc w:val="both"/>
      </w:pPr>
      <w:r>
        <w:rPr>
          <w:rFonts w:ascii="Times New Roman" w:eastAsia="Times New Roman" w:hAnsi="Times New Roman" w:cs="Times New Roman"/>
          <w:b/>
          <w:color w:val="003300"/>
          <w:sz w:val="32"/>
        </w:rPr>
        <w:t xml:space="preserve"> </w:t>
      </w:r>
    </w:p>
    <w:p w:rsidR="00023ACE" w:rsidRDefault="00402EB6">
      <w:pPr>
        <w:spacing w:after="283" w:line="240" w:lineRule="auto"/>
        <w:ind w:left="3842"/>
        <w:jc w:val="both"/>
      </w:pPr>
      <w:r>
        <w:rPr>
          <w:rFonts w:ascii="Times New Roman" w:eastAsia="Times New Roman" w:hAnsi="Times New Roman" w:cs="Times New Roman"/>
          <w:b/>
          <w:color w:val="003300"/>
          <w:sz w:val="32"/>
        </w:rPr>
        <w:t xml:space="preserve"> </w:t>
      </w:r>
    </w:p>
    <w:p w:rsidR="00023ACE" w:rsidRDefault="00402EB6">
      <w:pPr>
        <w:spacing w:after="99" w:line="240" w:lineRule="auto"/>
        <w:ind w:left="3842"/>
        <w:jc w:val="both"/>
      </w:pPr>
      <w:r>
        <w:rPr>
          <w:rFonts w:ascii="Times New Roman" w:eastAsia="Times New Roman" w:hAnsi="Times New Roman" w:cs="Times New Roman"/>
          <w:b/>
          <w:color w:val="003300"/>
          <w:sz w:val="32"/>
        </w:rPr>
        <w:t xml:space="preserve"> </w:t>
      </w:r>
    </w:p>
    <w:p w:rsidR="00023ACE" w:rsidRDefault="00402EB6">
      <w:pPr>
        <w:spacing w:line="240" w:lineRule="auto"/>
        <w:ind w:left="3842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23ACE" w:rsidRDefault="00402EB6">
      <w:pPr>
        <w:spacing w:line="240" w:lineRule="auto"/>
        <w:ind w:left="3842"/>
        <w:jc w:val="both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:rsidR="00023ACE" w:rsidRDefault="00402EB6">
      <w:pPr>
        <w:spacing w:line="240" w:lineRule="auto"/>
        <w:ind w:left="3842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23ACE" w:rsidRDefault="00402EB6">
      <w:pPr>
        <w:spacing w:after="860" w:line="240" w:lineRule="auto"/>
        <w:ind w:left="3842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23ACE" w:rsidRDefault="00402EB6">
      <w:pPr>
        <w:spacing w:line="240" w:lineRule="auto"/>
        <w:ind w:left="3811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023ACE">
      <w:pgSz w:w="11906" w:h="16838"/>
      <w:pgMar w:top="799" w:right="2131" w:bottom="668" w:left="2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95"/>
    <w:multiLevelType w:val="hybridMultilevel"/>
    <w:tmpl w:val="F3387354"/>
    <w:lvl w:ilvl="0" w:tplc="DB863886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A001A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0D3C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C3816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A530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CF1D8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CA45A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C462E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ED662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CE"/>
    <w:rsid w:val="00023ACE"/>
    <w:rsid w:val="004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1D420-37CE-44C9-A8E8-ED6BC99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保險系</dc:creator>
  <cp:keywords/>
  <cp:lastModifiedBy>Leisure</cp:lastModifiedBy>
  <cp:revision>2</cp:revision>
  <dcterms:created xsi:type="dcterms:W3CDTF">2019-02-18T03:41:00Z</dcterms:created>
  <dcterms:modified xsi:type="dcterms:W3CDTF">2019-02-18T03:41:00Z</dcterms:modified>
</cp:coreProperties>
</file>